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ОБРАЗОВАТЕЛЬНОЕ УЧРЕЖДЕНИЕ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РАЗВИТИЯ РЕБЕНКА - ДЕТСКИЙ САД № 60»</w:t>
      </w:r>
    </w:p>
    <w:p w:rsidR="00192A2B" w:rsidRPr="00192A2B" w:rsidRDefault="00192A2B" w:rsidP="00192A2B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Коммунистический, 155, т. 56-29-65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192A2B" w:rsidRPr="00192A2B" w:rsidTr="00192A2B">
        <w:tc>
          <w:tcPr>
            <w:tcW w:w="5103" w:type="dxa"/>
          </w:tcPr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  <w:t>СОГЛАСОВАНО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Педагогический совет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Протокол № _____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от «____» ______________20___г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</w:p>
        </w:tc>
        <w:tc>
          <w:tcPr>
            <w:tcW w:w="4673" w:type="dxa"/>
          </w:tcPr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  <w:t>УТВЕРЖДАЮ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Заведующий МБДОУ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«ЦРР – детский сад № 60»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________С.В. Прокопьева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</w:pPr>
            <w:r w:rsidRPr="00192A2B">
              <w:rPr>
                <w:rFonts w:ascii="Times New Roman" w:hAnsi="Times New Roman" w:cs="Times New Roman"/>
                <w:bCs/>
                <w:color w:val="5D5B5E"/>
                <w:sz w:val="24"/>
                <w:szCs w:val="24"/>
              </w:rPr>
              <w:t>Приказ № ___от «___» _______20___г.</w:t>
            </w:r>
          </w:p>
          <w:p w:rsidR="00192A2B" w:rsidRPr="00192A2B" w:rsidRDefault="00192A2B" w:rsidP="00192A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5D5B5E"/>
                <w:sz w:val="24"/>
                <w:szCs w:val="24"/>
              </w:rPr>
            </w:pPr>
          </w:p>
        </w:tc>
      </w:tr>
    </w:tbl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ПОЛОЖЕНИЕ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о педагогическом совете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5B5E"/>
          <w:sz w:val="28"/>
          <w:szCs w:val="28"/>
        </w:rPr>
        <w:t>МБДОУ «ЦРР – детский сад № 60»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Cs/>
          <w:color w:val="5D5B5E"/>
          <w:sz w:val="28"/>
          <w:szCs w:val="28"/>
        </w:rPr>
        <w:t>ЗАТО Северск – 2021г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/>
          <w:bCs/>
          <w:color w:val="5D5B5E"/>
          <w:sz w:val="28"/>
          <w:szCs w:val="28"/>
        </w:rPr>
        <w:lastRenderedPageBreak/>
        <w:t>1. Общие положения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1.1. Педагогический совет является органом уп</w:t>
      </w:r>
      <w:r>
        <w:rPr>
          <w:rFonts w:ascii="Times New Roman" w:hAnsi="Times New Roman" w:cs="Times New Roman"/>
          <w:color w:val="5D5B5E"/>
          <w:sz w:val="28"/>
          <w:szCs w:val="28"/>
        </w:rPr>
        <w:t>равления образовательного учреж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дения для рассмотрения основных вопросов образовательного процесса.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Педагогический совет создается во всех образовательных учреждениях, где работают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более трех педагогов.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1.2. В состав Педагогического совета входят: руководитель образовательного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 xml:space="preserve">учреждения (председатель Педсовета), заместитель заведующего по </w:t>
      </w:r>
      <w:proofErr w:type="spellStart"/>
      <w:r w:rsidRPr="00192A2B">
        <w:rPr>
          <w:rFonts w:ascii="Times New Roman" w:hAnsi="Times New Roman" w:cs="Times New Roman"/>
          <w:color w:val="5D5B5E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-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методической работе, педагогические работники, медицинские работники (по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согласованию), председатель родительского комитета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(по согласованию)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1.3. Педагогический совет действует на основании Федерального Закона «Об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 xml:space="preserve">образовании в РФ», других нормативных правовых </w:t>
      </w:r>
      <w:r>
        <w:rPr>
          <w:rFonts w:ascii="Times New Roman" w:hAnsi="Times New Roman" w:cs="Times New Roman"/>
          <w:color w:val="5D5B5E"/>
          <w:sz w:val="28"/>
          <w:szCs w:val="28"/>
        </w:rPr>
        <w:t>актов об образовании, Устава об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разовательного учреждения, настоящего Положения.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1.4. Решения Педагогического совета являются рекомендательными для</w:t>
      </w:r>
      <w:r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коллектива образовательного учреждения. Решения Пе</w:t>
      </w:r>
      <w:r>
        <w:rPr>
          <w:rFonts w:ascii="Times New Roman" w:hAnsi="Times New Roman" w:cs="Times New Roman"/>
          <w:color w:val="5D5B5E"/>
          <w:sz w:val="28"/>
          <w:szCs w:val="28"/>
        </w:rPr>
        <w:t>дагогического совета, утвержден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ные приказом образовательного учреждения, являются обязательными для исполнения.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/>
          <w:bCs/>
          <w:color w:val="5D5B5E"/>
          <w:sz w:val="28"/>
          <w:szCs w:val="28"/>
        </w:rPr>
        <w:t>2. Задачи и содержание работы Педагогического совета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2.1. Главными задачами Педагогического совета являются:</w:t>
      </w:r>
    </w:p>
    <w:p w:rsidR="00192A2B" w:rsidRPr="00192A2B" w:rsidRDefault="00192A2B" w:rsidP="00192A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реализация государственной политики по вопросам образования;</w:t>
      </w:r>
    </w:p>
    <w:p w:rsidR="00192A2B" w:rsidRPr="00192A2B" w:rsidRDefault="00192A2B" w:rsidP="00192A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ориентация деятельности педагогического коллектива учреждения на</w:t>
      </w:r>
    </w:p>
    <w:p w:rsidR="00192A2B" w:rsidRPr="00FC3CD1" w:rsidRDefault="00192A2B" w:rsidP="00FC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совершенствование образовательного процесса:</w:t>
      </w:r>
    </w:p>
    <w:p w:rsidR="00192A2B" w:rsidRPr="00FC3CD1" w:rsidRDefault="00192A2B" w:rsidP="00FC3C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разработка содержания ра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боты по общей методической теме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образовательного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учреждения;</w:t>
      </w:r>
    </w:p>
    <w:p w:rsidR="00192A2B" w:rsidRPr="00FC3CD1" w:rsidRDefault="00192A2B" w:rsidP="00FC3C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внедрение в практическую деятельность педагогических работников достижений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педагогической науки и передового педагогического опыта;</w:t>
      </w:r>
    </w:p>
    <w:p w:rsidR="00192A2B" w:rsidRPr="00FC3CD1" w:rsidRDefault="00192A2B" w:rsidP="00FC3C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решение вопросов о переводе в следующую возрастную группу и выпуске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воспитанников, освоивших образовательную программу учреждения.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2.2. Педагогический совет осуществляет следующие функции:</w:t>
      </w:r>
    </w:p>
    <w:p w:rsidR="00192A2B" w:rsidRPr="00FC3CD1" w:rsidRDefault="00192A2B" w:rsidP="00FC3CD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обсуждает и принимает планы работы образовательного учреждения;</w:t>
      </w:r>
    </w:p>
    <w:p w:rsidR="00192A2B" w:rsidRDefault="00192A2B" w:rsidP="00FC3CD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заслушивает информацию и отчеты педагогических работников учреждения, доклады по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вопросам образования и воспитания подрастающего поколения, в том числе сообщения о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проверке соблюдения санитарно-гигиенического режима МБДОУ, об охране труда,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здоровья и жизни воспитанников и другие вопросы образовательной деятельности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>учреждения.</w:t>
      </w:r>
    </w:p>
    <w:p w:rsidR="00FC3CD1" w:rsidRPr="00FC3CD1" w:rsidRDefault="00FC3CD1" w:rsidP="00FC3CD1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/>
          <w:bCs/>
          <w:color w:val="5D5B5E"/>
          <w:sz w:val="28"/>
          <w:szCs w:val="28"/>
        </w:rPr>
        <w:t>3. Права и ответственность Педагогического совета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3.1. Педагогический совет имеет право:</w:t>
      </w:r>
    </w:p>
    <w:p w:rsidR="00192A2B" w:rsidRPr="00FC3CD1" w:rsidRDefault="00192A2B" w:rsidP="00FC3C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создавать временные творческие объединения с приглашением специалистов различного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профиля, консультантов для выработки рекомендаций с последующим рассмотрением их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на Педагогическом совете;</w:t>
      </w:r>
    </w:p>
    <w:p w:rsidR="00192A2B" w:rsidRPr="00FC3CD1" w:rsidRDefault="00192A2B" w:rsidP="00FC3C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принимать окончательное решение по спорным вопросам, входящим в его компетенцию:</w:t>
      </w:r>
    </w:p>
    <w:p w:rsidR="00192A2B" w:rsidRPr="00FC3CD1" w:rsidRDefault="00192A2B" w:rsidP="00FC3C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lastRenderedPageBreak/>
        <w:t>принимать положения (локальные акты) с компетенцией, относящейся к объединениям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по профессии;</w:t>
      </w:r>
    </w:p>
    <w:p w:rsidR="00192A2B" w:rsidRPr="00FC3CD1" w:rsidRDefault="00192A2B" w:rsidP="00FC3C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в необходимых случаях на заседания Педагогического совета образовательного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учреждения могут приглашаться представители общественных организаций, учреждений,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взаимодействующих с данным учреждением по вопросам образования, родители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воспитанников, представители учреждений, участвующих в финансировании данного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учреждения, и др. Необходимость их приглашения определяется председателем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Педагогического совета. Лица, приглашенные на заседание Педагогического совета,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пользуются правом совещательного голоса.</w:t>
      </w:r>
    </w:p>
    <w:p w:rsidR="00B06DE0" w:rsidRPr="00192A2B" w:rsidRDefault="00192A2B" w:rsidP="00FC3C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 xml:space="preserve">3.2. Педагогический совет ответственен </w:t>
      </w:r>
      <w:proofErr w:type="gramStart"/>
      <w:r w:rsidRPr="00192A2B">
        <w:rPr>
          <w:rFonts w:ascii="Times New Roman" w:hAnsi="Times New Roman" w:cs="Times New Roman"/>
          <w:color w:val="5D5B5E"/>
          <w:sz w:val="28"/>
          <w:szCs w:val="28"/>
        </w:rPr>
        <w:t>за:</w:t>
      </w:r>
      <w:r w:rsidRPr="00192A2B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192A2B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92A2B" w:rsidRPr="00FC3CD1" w:rsidRDefault="00192A2B" w:rsidP="00FC3CD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выполнение плана работы педагогического коллектива;</w:t>
      </w:r>
    </w:p>
    <w:p w:rsidR="00192A2B" w:rsidRPr="00FC3CD1" w:rsidRDefault="00192A2B" w:rsidP="00FC3CD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соответствие принятых решений законодательству Российской Федерации об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образовании, о защите прав детства;</w:t>
      </w:r>
    </w:p>
    <w:p w:rsidR="00192A2B" w:rsidRPr="00FC3CD1" w:rsidRDefault="00192A2B" w:rsidP="00FC3CD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принятие образовательных программ;</w:t>
      </w:r>
    </w:p>
    <w:p w:rsidR="00192A2B" w:rsidRDefault="00192A2B" w:rsidP="00FC3CD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FC3CD1">
        <w:rPr>
          <w:rFonts w:ascii="Times New Roman" w:hAnsi="Times New Roman" w:cs="Times New Roman"/>
          <w:color w:val="5D5B5E"/>
          <w:sz w:val="28"/>
          <w:szCs w:val="28"/>
        </w:rPr>
        <w:t>принятие конкретных решений по каждому рассматриваемому вопросу, с указанием</w:t>
      </w:r>
      <w:r w:rsidR="00FC3CD1" w:rsidRP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FC3CD1">
        <w:rPr>
          <w:rFonts w:ascii="Times New Roman" w:hAnsi="Times New Roman" w:cs="Times New Roman"/>
          <w:color w:val="5D5B5E"/>
          <w:sz w:val="28"/>
          <w:szCs w:val="28"/>
        </w:rPr>
        <w:t>ответственных лиц и сроков исполнения.</w:t>
      </w:r>
    </w:p>
    <w:p w:rsidR="00FC3CD1" w:rsidRPr="00FC3CD1" w:rsidRDefault="00FC3CD1" w:rsidP="00FC3CD1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/>
          <w:bCs/>
          <w:color w:val="5D5B5E"/>
          <w:sz w:val="28"/>
          <w:szCs w:val="28"/>
        </w:rPr>
        <w:t>4. Организация деятельности Педагогического совета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4.1. Педагогический совет избирает из своего состава секретаря. Секретарь педсовета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работает на общественных началах.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4.2. Педагогический совет работает по плану, являющемуся составной частью плана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работы МБДОУ.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4.3. Заседания Педагогического совета созываются, как правило, один раз в квартал, в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соответствии с планом работы МБДОУ.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4.4. Решения Педагогического совета принимаются большинством голосов при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наличии на заседании не менее двух третей его членов (если процесс голосования не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оговорен специальным положением. При равном количестве голосов решающим является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голос председателя Педагогического совета).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4.5. Организацию выполнения решений Педагогического совета осуществляет</w:t>
      </w:r>
    </w:p>
    <w:p w:rsid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руководитель МБДОУ и ответственные лица, указанные в решении. Результаты этой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работы сообщаются членам Педагогического совета на последующих его заседаниях.</w:t>
      </w:r>
    </w:p>
    <w:p w:rsidR="00FC3CD1" w:rsidRPr="00192A2B" w:rsidRDefault="00FC3CD1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b/>
          <w:bCs/>
          <w:color w:val="5D5B5E"/>
          <w:sz w:val="28"/>
          <w:szCs w:val="28"/>
        </w:rPr>
        <w:t>5. Документация Педагогического совета</w:t>
      </w:r>
    </w:p>
    <w:p w:rsidR="00192A2B" w:rsidRPr="00192A2B" w:rsidRDefault="00192A2B" w:rsidP="00FC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5.1. Заседания Педагогического совета оформляются протокольно. В книге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протоколов фиксируется ход обсуждения вопросов, выносимых на Педагогический совет,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предложения и замечания членов педсовета. Протоколы подписываются председателем и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секретарем совета.</w:t>
      </w:r>
    </w:p>
    <w:p w:rsidR="00192A2B" w:rsidRPr="00192A2B" w:rsidRDefault="00192A2B" w:rsidP="00FC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5.2. Нумерация протоколов ведется от начала учебного года.</w:t>
      </w:r>
    </w:p>
    <w:p w:rsidR="00192A2B" w:rsidRPr="00192A2B" w:rsidRDefault="00192A2B" w:rsidP="00FC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5.3. Книга протоколов Педагогического совета образовательного учреждения</w:t>
      </w:r>
    </w:p>
    <w:p w:rsidR="00192A2B" w:rsidRPr="00192A2B" w:rsidRDefault="00192A2B" w:rsidP="00192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D5B5E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t>входит в его номенклатуру дел, хранится в учреждении постоянно и передается по акту.</w:t>
      </w:r>
    </w:p>
    <w:p w:rsidR="00192A2B" w:rsidRPr="00192A2B" w:rsidRDefault="00192A2B" w:rsidP="00FC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2B">
        <w:rPr>
          <w:rFonts w:ascii="Times New Roman" w:hAnsi="Times New Roman" w:cs="Times New Roman"/>
          <w:color w:val="5D5B5E"/>
          <w:sz w:val="28"/>
          <w:szCs w:val="28"/>
        </w:rPr>
        <w:lastRenderedPageBreak/>
        <w:t>5.4. Книга протоколов Педагогического совета пронумеровывается постранично,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r w:rsidRPr="00192A2B">
        <w:rPr>
          <w:rFonts w:ascii="Times New Roman" w:hAnsi="Times New Roman" w:cs="Times New Roman"/>
          <w:color w:val="5D5B5E"/>
          <w:sz w:val="28"/>
          <w:szCs w:val="28"/>
        </w:rPr>
        <w:t>прошнуровывается, скрепляется подписью руководителя и печатью образовательного</w:t>
      </w:r>
      <w:r w:rsidR="00FC3CD1">
        <w:rPr>
          <w:rFonts w:ascii="Times New Roman" w:hAnsi="Times New Roman" w:cs="Times New Roman"/>
          <w:color w:val="5D5B5E"/>
          <w:sz w:val="28"/>
          <w:szCs w:val="28"/>
        </w:rPr>
        <w:t xml:space="preserve"> </w:t>
      </w:r>
      <w:bookmarkStart w:id="0" w:name="_GoBack"/>
      <w:bookmarkEnd w:id="0"/>
      <w:r w:rsidRPr="00192A2B">
        <w:rPr>
          <w:rFonts w:ascii="Times New Roman" w:hAnsi="Times New Roman" w:cs="Times New Roman"/>
          <w:color w:val="5D5B5E"/>
          <w:sz w:val="28"/>
          <w:szCs w:val="28"/>
        </w:rPr>
        <w:t>учреждения.</w:t>
      </w:r>
    </w:p>
    <w:sectPr w:rsidR="00192A2B" w:rsidRPr="0019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79F"/>
    <w:multiLevelType w:val="hybridMultilevel"/>
    <w:tmpl w:val="DD6E4B8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619F9"/>
    <w:multiLevelType w:val="hybridMultilevel"/>
    <w:tmpl w:val="2F088AE2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32D5"/>
    <w:multiLevelType w:val="hybridMultilevel"/>
    <w:tmpl w:val="CB145C8C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2A6A"/>
    <w:multiLevelType w:val="hybridMultilevel"/>
    <w:tmpl w:val="DA4A043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B"/>
    <w:rsid w:val="00192A2B"/>
    <w:rsid w:val="00B06DE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D3A9"/>
  <w15:chartTrackingRefBased/>
  <w15:docId w15:val="{E5BEBF76-0925-4536-866F-5C4AADF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cJ3Nz8AxzEyBQBna6yGHZJ0/bew=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DNfD9/GD0+4zNpRqWuOr2HaOCvY=</DigestValue>
    </Reference>
  </SignedInfo>
  <SignatureValue>yFGtf8RrOpHmLtV5oSQvluCNYNmw22HmoDGGt6zWs0DiuRABeHBtww4OX+3x1Xl1+520QKo05RkO
3JiTPICfbbFrmlq3HPuz3uWNQ4idd4BkfYG6du2enZYKr0EJcSpv36HU3O/9j5Au90n6P0x+XJsW
udmqlnh+FT3J/u7TQHU=</SignatureValue>
  <KeyInfo>
    <X509Data>
      <X509Certificate>MIICSjCCAbOgAwIBAgIQ6Br5HSLcVoNGvJUlfmH6jjANBgkqhkiG9w0BAQUFADApMScwJQYDVQQD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9T32CXs1/0oMivgxUs2Jgxm2O30=</DigestValue>
      </Reference>
      <Reference URI="/word/styles.xml?ContentType=application/vnd.openxmlformats-officedocument.wordprocessingml.styles+xml">
        <DigestMethod Algorithm="http://www.w3.org/2000/09/xmldsig#sha1"/>
        <DigestValue>nQR3cQA+Es65YEPGgyHBQegIa30=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  <Reference URI="/word/fontTable.xml?ContentType=application/vnd.openxmlformats-officedocument.wordprocessingml.fontTable+xml">
        <DigestMethod Algorithm="http://www.w3.org/2000/09/xmldsig#sha1"/>
        <DigestValue>d3R574HFS1aNHpRBjw0rXRVU/OE=</DigestValue>
      </Reference>
      <Reference URI="/word/settings.xml?ContentType=application/vnd.openxmlformats-officedocument.wordprocessingml.settings+xml">
        <DigestMethod Algorithm="http://www.w3.org/2000/09/xmldsig#sha1"/>
        <DigestValue>vhVNgUYszowi2qRgAkYhhiINwhA=</DigestValue>
      </Reference>
      <Reference URI="/word/document.xml?ContentType=application/vnd.openxmlformats-officedocument.wordprocessingml.document.main+xml">
        <DigestMethod Algorithm="http://www.w3.org/2000/09/xmldsig#sha1"/>
        <DigestValue>YyxfF7/VoFPvgZobpYJnJ/ucqE0=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2021-03-11T05:07:03Z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2021-03-11T05:07:03Z</xd:SigningTime>
          <xd:SigningCertificate>
            <xd:Cert>
              <xd:CertDigest>
                <DigestMethod Algorithm="http://www.w3.org/2000/09/xmldsig#sha1"/>
                <DigestValue>dFuy1wvwNdclB9khCEvzT93/MEQ=</DigestValue>
              </xd:CertDigest>
              <xd:IssuerSerial>
                <X509IssuerName>CN=Прокопьева С.В.</X509IssuerName>
                <X509SerialNumber>308520947368819272771005448035005233806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2021-02-26T04:26:00Z</dcterms:created>
  <dcterms:modified xsi:type="dcterms:W3CDTF">2021-02-26T04:44:00Z</dcterms:modified>
</cp:coreProperties>
</file>